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32" w:rsidRPr="00427157" w:rsidRDefault="00032732" w:rsidP="00427157">
      <w:pPr>
        <w:rPr>
          <w:b/>
          <w:color w:val="231F20"/>
          <w:sz w:val="20"/>
          <w:szCs w:val="20"/>
          <w:lang w:val="it-IT"/>
        </w:rPr>
      </w:pPr>
      <w:r w:rsidRPr="00427157">
        <w:rPr>
          <w:b/>
          <w:color w:val="231F20"/>
          <w:sz w:val="20"/>
          <w:szCs w:val="20"/>
          <w:lang w:val="it-IT"/>
        </w:rPr>
        <w:t xml:space="preserve">IL </w:t>
      </w:r>
      <w:r w:rsidRPr="00427157">
        <w:rPr>
          <w:rFonts w:ascii="Verdana" w:hAnsi="Verdana"/>
          <w:b/>
          <w:color w:val="231F20"/>
          <w:sz w:val="20"/>
          <w:szCs w:val="20"/>
          <w:lang w:val="it-IT"/>
        </w:rPr>
        <w:t>MERCATO</w:t>
      </w:r>
      <w:r w:rsidRPr="00427157">
        <w:rPr>
          <w:b/>
          <w:color w:val="231F20"/>
          <w:sz w:val="20"/>
          <w:szCs w:val="20"/>
          <w:lang w:val="it-IT"/>
        </w:rPr>
        <w:t xml:space="preserve"> DELLE MATERIE PRIME ENERGETICHE E ATTREZZATURE OIL&amp;GAS NELLA FR</w:t>
      </w:r>
    </w:p>
    <w:p w:rsidR="00032732" w:rsidRPr="00427157" w:rsidRDefault="007A60CC" w:rsidP="00427157">
      <w:pPr>
        <w:rPr>
          <w:rFonts w:ascii="Verdana" w:hAnsi="Verdana"/>
          <w:b/>
          <w:color w:val="231F20"/>
          <w:sz w:val="18"/>
          <w:szCs w:val="18"/>
          <w:lang w:val="it-IT"/>
        </w:rPr>
      </w:pPr>
      <w:r w:rsidRPr="00427157">
        <w:rPr>
          <w:rFonts w:ascii="Verdana" w:hAnsi="Verdana"/>
          <w:b/>
          <w:color w:val="231F20"/>
          <w:sz w:val="18"/>
          <w:szCs w:val="18"/>
          <w:lang w:val="it-IT"/>
        </w:rPr>
        <w:t>GREGGIO</w:t>
      </w:r>
      <w:r w:rsidR="00427157">
        <w:rPr>
          <w:rFonts w:ascii="Verdana" w:hAnsi="Verdana"/>
          <w:b/>
          <w:color w:val="231F20"/>
          <w:sz w:val="18"/>
          <w:szCs w:val="18"/>
          <w:lang w:val="it-IT"/>
        </w:rPr>
        <w:t xml:space="preserve">. </w:t>
      </w:r>
      <w:r w:rsidR="00032732" w:rsidRPr="00427157">
        <w:rPr>
          <w:sz w:val="18"/>
          <w:szCs w:val="18"/>
          <w:lang w:val="it-IT"/>
        </w:rPr>
        <w:t>Nel 2021 la Russia ha esportato petrolio</w:t>
      </w:r>
      <w:r w:rsidR="00032732" w:rsidRPr="00427157">
        <w:rPr>
          <w:b/>
          <w:sz w:val="18"/>
          <w:szCs w:val="18"/>
          <w:lang w:val="it-IT"/>
        </w:rPr>
        <w:t xml:space="preserve"> </w:t>
      </w:r>
      <w:r w:rsidR="00032732" w:rsidRPr="00427157">
        <w:rPr>
          <w:sz w:val="18"/>
          <w:szCs w:val="18"/>
          <w:lang w:val="it-IT"/>
        </w:rPr>
        <w:t>nei seguenti Paesi: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Cina - 70,1 milioni di tonnellate di petrolio, per un importo di 34,9 miliardi di dollari;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Olanda - 37,4 milioni di tonnellate, per 17,3 miliardi di dollari;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Germania - 19,2 milioni di tonnellate, per 9,3 miliardi di dollari;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Bielorussia - 14,9 milioni di tonnellate, per 6,4 miliardi di dollari;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Corea del Sud - 13,5 milioni di tonnellate, per 6,4 miliardi di dollari;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Polonia - 11,2 milioni di tonnellate, per 5,4 miliardi di dollari;</w:t>
      </w:r>
    </w:p>
    <w:p w:rsidR="00032732" w:rsidRPr="00427157" w:rsidRDefault="00032732" w:rsidP="00032732">
      <w:pPr>
        <w:pStyle w:val="a3"/>
        <w:numPr>
          <w:ilvl w:val="0"/>
          <w:numId w:val="3"/>
        </w:numPr>
        <w:spacing w:before="105" w:line="312" w:lineRule="auto"/>
        <w:ind w:right="1198"/>
        <w:jc w:val="both"/>
        <w:rPr>
          <w:sz w:val="18"/>
          <w:szCs w:val="18"/>
        </w:rPr>
      </w:pPr>
      <w:r w:rsidRPr="00427157">
        <w:rPr>
          <w:sz w:val="18"/>
          <w:szCs w:val="18"/>
        </w:rPr>
        <w:t>Italia - 8,9 milioni di tonnellate, per 4,2 miliardi di dollari</w:t>
      </w:r>
    </w:p>
    <w:p w:rsidR="00032732" w:rsidRPr="00427157" w:rsidRDefault="00032732" w:rsidP="00427157">
      <w:pPr>
        <w:pStyle w:val="a3"/>
        <w:spacing w:before="105" w:line="312" w:lineRule="auto"/>
        <w:ind w:right="1198"/>
        <w:jc w:val="both"/>
        <w:rPr>
          <w:b/>
          <w:sz w:val="18"/>
          <w:szCs w:val="18"/>
        </w:rPr>
      </w:pPr>
      <w:r w:rsidRPr="00427157">
        <w:rPr>
          <w:b/>
          <w:sz w:val="18"/>
          <w:szCs w:val="18"/>
        </w:rPr>
        <w:t>GAS</w:t>
      </w:r>
      <w:r w:rsidR="00427157">
        <w:rPr>
          <w:b/>
          <w:sz w:val="18"/>
          <w:szCs w:val="18"/>
        </w:rPr>
        <w:t xml:space="preserve">. </w:t>
      </w:r>
      <w:r w:rsidRPr="00427157">
        <w:rPr>
          <w:sz w:val="18"/>
          <w:szCs w:val="18"/>
        </w:rPr>
        <w:t>Nel 2020, la Germania è il principale consumatore di gas russo in Europa (45,8 miliardi di metri cubi). Grandi volumi di "carburante blu" sono stati ricevuti anche da Paesi europei come:</w:t>
      </w:r>
    </w:p>
    <w:p w:rsidR="00032732" w:rsidRPr="00427157" w:rsidRDefault="00032732" w:rsidP="00032732">
      <w:pPr>
        <w:pStyle w:val="a3"/>
        <w:spacing w:before="105" w:line="312" w:lineRule="auto"/>
        <w:ind w:left="314" w:right="1198"/>
        <w:jc w:val="both"/>
        <w:rPr>
          <w:sz w:val="18"/>
          <w:szCs w:val="18"/>
        </w:rPr>
      </w:pPr>
      <w:r w:rsidRPr="00427157">
        <w:rPr>
          <w:sz w:val="18"/>
          <w:szCs w:val="18"/>
        </w:rPr>
        <w:t>• Italia – 20,8 miliardi di metri cubi</w:t>
      </w:r>
    </w:p>
    <w:p w:rsidR="00032732" w:rsidRPr="00427157" w:rsidRDefault="00032732" w:rsidP="00032732">
      <w:pPr>
        <w:pStyle w:val="a3"/>
        <w:spacing w:before="105" w:line="312" w:lineRule="auto"/>
        <w:ind w:left="314" w:right="1198"/>
        <w:jc w:val="both"/>
        <w:rPr>
          <w:sz w:val="18"/>
          <w:szCs w:val="18"/>
        </w:rPr>
      </w:pPr>
      <w:r w:rsidRPr="00427157">
        <w:rPr>
          <w:sz w:val="18"/>
          <w:szCs w:val="18"/>
        </w:rPr>
        <w:t>• Turchia - 16,4 miliardi di metri cubi</w:t>
      </w:r>
    </w:p>
    <w:p w:rsidR="00032732" w:rsidRPr="00427157" w:rsidRDefault="00032732" w:rsidP="00032732">
      <w:pPr>
        <w:pStyle w:val="a3"/>
        <w:spacing w:before="105" w:line="312" w:lineRule="auto"/>
        <w:ind w:left="314" w:right="1198"/>
        <w:jc w:val="both"/>
        <w:rPr>
          <w:sz w:val="18"/>
          <w:szCs w:val="18"/>
        </w:rPr>
      </w:pPr>
      <w:r w:rsidRPr="00427157">
        <w:rPr>
          <w:sz w:val="18"/>
          <w:szCs w:val="18"/>
        </w:rPr>
        <w:t>• Austria – 13,2 miliardi di metri cubi</w:t>
      </w:r>
    </w:p>
    <w:p w:rsidR="00032732" w:rsidRPr="00427157" w:rsidRDefault="00032732" w:rsidP="00032732">
      <w:pPr>
        <w:pStyle w:val="a3"/>
        <w:spacing w:before="105" w:line="312" w:lineRule="auto"/>
        <w:ind w:left="314" w:right="1198"/>
        <w:jc w:val="both"/>
        <w:rPr>
          <w:sz w:val="18"/>
          <w:szCs w:val="18"/>
        </w:rPr>
      </w:pPr>
      <w:r w:rsidRPr="00427157">
        <w:rPr>
          <w:sz w:val="18"/>
          <w:szCs w:val="18"/>
        </w:rPr>
        <w:t>• Francia – 12,4 miliardi di metri cubi</w:t>
      </w:r>
    </w:p>
    <w:p w:rsidR="00032732" w:rsidRPr="00427157" w:rsidRDefault="00032732" w:rsidP="00032732">
      <w:pPr>
        <w:pStyle w:val="a3"/>
        <w:spacing w:before="105" w:line="312" w:lineRule="auto"/>
        <w:ind w:left="314" w:right="1198"/>
        <w:jc w:val="both"/>
        <w:rPr>
          <w:sz w:val="18"/>
          <w:szCs w:val="18"/>
        </w:rPr>
      </w:pPr>
      <w:r w:rsidRPr="00427157">
        <w:rPr>
          <w:sz w:val="18"/>
          <w:szCs w:val="18"/>
        </w:rPr>
        <w:t>Secondo i dati di Rosstat, la Russia ha esportato in Italia nel 2021 un volume di 17,29 mld di m3.</w:t>
      </w:r>
    </w:p>
    <w:p w:rsidR="00032732" w:rsidRPr="00427157" w:rsidRDefault="00032732" w:rsidP="00032732">
      <w:pPr>
        <w:pStyle w:val="a3"/>
        <w:spacing w:before="105" w:line="312" w:lineRule="auto"/>
        <w:ind w:left="314" w:right="1198"/>
        <w:jc w:val="both"/>
        <w:rPr>
          <w:sz w:val="18"/>
          <w:szCs w:val="18"/>
        </w:rPr>
      </w:pPr>
      <w:r w:rsidRPr="00427157">
        <w:rPr>
          <w:sz w:val="18"/>
          <w:szCs w:val="18"/>
        </w:rPr>
        <w:t>I dati statistici delle esportazioni russe del gas in Italia non sono disponibili nelle fonti statistiche ufficiali in quanto le esportazioni del gas in Italia non sono dirette, ma avvengono tramite altri Paesi europei dove “arrivano” i gasdotti russi.</w:t>
      </w:r>
    </w:p>
    <w:p w:rsidR="00EC0619" w:rsidRPr="00427157" w:rsidRDefault="00EC0619" w:rsidP="00032732">
      <w:pPr>
        <w:pStyle w:val="a3"/>
        <w:spacing w:before="105" w:line="312" w:lineRule="auto"/>
        <w:ind w:left="314" w:right="1198"/>
        <w:jc w:val="both"/>
        <w:rPr>
          <w:sz w:val="18"/>
          <w:szCs w:val="18"/>
        </w:rPr>
      </w:pPr>
    </w:p>
    <w:p w:rsidR="008D09E0" w:rsidRPr="00427157" w:rsidRDefault="007A60CC" w:rsidP="00427157">
      <w:pPr>
        <w:pStyle w:val="a3"/>
        <w:spacing w:before="105" w:line="312" w:lineRule="auto"/>
        <w:ind w:left="314" w:right="1198"/>
        <w:jc w:val="both"/>
        <w:rPr>
          <w:b/>
          <w:sz w:val="18"/>
          <w:szCs w:val="18"/>
        </w:rPr>
      </w:pPr>
      <w:r w:rsidRPr="00427157">
        <w:rPr>
          <w:b/>
          <w:sz w:val="18"/>
          <w:szCs w:val="18"/>
        </w:rPr>
        <w:t>CARBONE</w:t>
      </w:r>
      <w:r w:rsidR="00427157">
        <w:rPr>
          <w:b/>
          <w:sz w:val="18"/>
          <w:szCs w:val="18"/>
        </w:rPr>
        <w:t xml:space="preserve">. </w:t>
      </w:r>
      <w:r w:rsidR="008D09E0" w:rsidRPr="00427157">
        <w:rPr>
          <w:sz w:val="18"/>
          <w:szCs w:val="18"/>
        </w:rPr>
        <w:t>Le esportazioni russe nel 2021 sono pari a 63,4 mln di Euro.  I clienti principali sono</w:t>
      </w:r>
      <w:r w:rsidR="008D09E0" w:rsidRPr="00427157">
        <w:rPr>
          <w:sz w:val="18"/>
          <w:szCs w:val="18"/>
        </w:rPr>
        <w:t>:</w:t>
      </w:r>
    </w:p>
    <w:p w:rsidR="008D09E0" w:rsidRPr="00427157" w:rsidRDefault="008D09E0" w:rsidP="008D09E0">
      <w:pPr>
        <w:pStyle w:val="a3"/>
        <w:numPr>
          <w:ilvl w:val="0"/>
          <w:numId w:val="4"/>
        </w:numPr>
        <w:spacing w:before="105" w:line="312" w:lineRule="auto"/>
        <w:ind w:right="1198"/>
        <w:jc w:val="both"/>
        <w:rPr>
          <w:sz w:val="18"/>
          <w:szCs w:val="18"/>
        </w:rPr>
      </w:pPr>
      <w:r w:rsidRPr="00427157">
        <w:rPr>
          <w:sz w:val="18"/>
          <w:szCs w:val="18"/>
        </w:rPr>
        <w:t xml:space="preserve">Cina (22,4 mln di Euro, quota di mercato 35,5 %), </w:t>
      </w:r>
    </w:p>
    <w:p w:rsidR="008D09E0" w:rsidRPr="00427157" w:rsidRDefault="008D09E0" w:rsidP="008D09E0">
      <w:pPr>
        <w:pStyle w:val="a3"/>
        <w:numPr>
          <w:ilvl w:val="0"/>
          <w:numId w:val="4"/>
        </w:numPr>
        <w:spacing w:before="105" w:line="312" w:lineRule="auto"/>
        <w:ind w:right="1198"/>
        <w:jc w:val="both"/>
        <w:rPr>
          <w:sz w:val="18"/>
          <w:szCs w:val="18"/>
        </w:rPr>
      </w:pPr>
      <w:r w:rsidRPr="00427157">
        <w:rPr>
          <w:sz w:val="18"/>
          <w:szCs w:val="18"/>
        </w:rPr>
        <w:t xml:space="preserve">Polonia (14,7 mln di Euro, quota di mercato 23,26%), </w:t>
      </w:r>
    </w:p>
    <w:p w:rsidR="008D09E0" w:rsidRPr="00427157" w:rsidRDefault="008D09E0" w:rsidP="008D09E0">
      <w:pPr>
        <w:pStyle w:val="a3"/>
        <w:numPr>
          <w:ilvl w:val="0"/>
          <w:numId w:val="4"/>
        </w:numPr>
        <w:spacing w:before="105" w:line="312" w:lineRule="auto"/>
        <w:ind w:right="1198"/>
        <w:jc w:val="both"/>
        <w:rPr>
          <w:sz w:val="18"/>
          <w:szCs w:val="18"/>
        </w:rPr>
      </w:pPr>
      <w:r w:rsidRPr="00427157">
        <w:rPr>
          <w:sz w:val="18"/>
          <w:szCs w:val="18"/>
        </w:rPr>
        <w:t xml:space="preserve">Paesi Bassi (7,4 mln di Euro, quota di mercato e’ di 11,67%); </w:t>
      </w:r>
    </w:p>
    <w:p w:rsidR="008D09E0" w:rsidRPr="00427157" w:rsidRDefault="008D09E0" w:rsidP="008D09E0">
      <w:pPr>
        <w:pStyle w:val="a3"/>
        <w:numPr>
          <w:ilvl w:val="0"/>
          <w:numId w:val="4"/>
        </w:numPr>
        <w:spacing w:before="105" w:line="312" w:lineRule="auto"/>
        <w:ind w:right="1198"/>
        <w:jc w:val="both"/>
        <w:rPr>
          <w:sz w:val="18"/>
          <w:szCs w:val="18"/>
        </w:rPr>
      </w:pPr>
      <w:r w:rsidRPr="00427157">
        <w:rPr>
          <w:sz w:val="18"/>
          <w:szCs w:val="18"/>
        </w:rPr>
        <w:t>l’Italia nel 2021 ha acquistato carbone per un importo di 659 mila di Euro, la quota di mercato italiano e’ di 1,04%.</w:t>
      </w:r>
    </w:p>
    <w:p w:rsidR="007A60CC" w:rsidRPr="00427157" w:rsidRDefault="00427157" w:rsidP="00427157">
      <w:pPr>
        <w:pStyle w:val="a3"/>
        <w:spacing w:before="105" w:line="312" w:lineRule="auto"/>
        <w:ind w:right="1198"/>
        <w:jc w:val="both"/>
        <w:rPr>
          <w:b/>
          <w:sz w:val="18"/>
          <w:szCs w:val="18"/>
        </w:rPr>
      </w:pPr>
      <w:r>
        <w:rPr>
          <w:b/>
          <w:sz w:val="18"/>
          <w:szCs w:val="18"/>
        </w:rPr>
        <w:t xml:space="preserve">       </w:t>
      </w:r>
      <w:r w:rsidR="008D09E0" w:rsidRPr="00427157">
        <w:rPr>
          <w:b/>
          <w:sz w:val="18"/>
          <w:szCs w:val="18"/>
        </w:rPr>
        <w:t>ATTREZZATURE SETTORE OIL&amp;GAS</w:t>
      </w:r>
      <w:r w:rsidR="00EC0619" w:rsidRPr="00427157">
        <w:rPr>
          <w:b/>
          <w:sz w:val="18"/>
          <w:szCs w:val="18"/>
        </w:rPr>
        <w:t xml:space="preserve"> (</w:t>
      </w:r>
      <w:r w:rsidRPr="00427157">
        <w:rPr>
          <w:b/>
          <w:sz w:val="18"/>
          <w:szCs w:val="18"/>
        </w:rPr>
        <w:t xml:space="preserve">valvole, pompe, tubazioni, compressori ed altri impianti) </w:t>
      </w:r>
    </w:p>
    <w:p w:rsidR="00EC0619" w:rsidRPr="00427157" w:rsidRDefault="00EC0619" w:rsidP="00EC0619">
      <w:pPr>
        <w:pStyle w:val="a3"/>
        <w:spacing w:before="105" w:line="312" w:lineRule="auto"/>
        <w:ind w:left="314" w:right="1198"/>
        <w:jc w:val="both"/>
        <w:rPr>
          <w:color w:val="231F20"/>
          <w:sz w:val="18"/>
          <w:szCs w:val="18"/>
        </w:rPr>
      </w:pPr>
      <w:r w:rsidRPr="00427157">
        <w:rPr>
          <w:color w:val="231F20"/>
          <w:sz w:val="18"/>
          <w:szCs w:val="18"/>
        </w:rPr>
        <w:t>Nel 2019 la quota delle importazioni</w:t>
      </w:r>
      <w:r w:rsidRPr="00427157">
        <w:rPr>
          <w:color w:val="231F20"/>
          <w:spacing w:val="1"/>
          <w:sz w:val="18"/>
          <w:szCs w:val="18"/>
        </w:rPr>
        <w:t xml:space="preserve"> </w:t>
      </w:r>
      <w:r w:rsidRPr="00427157">
        <w:rPr>
          <w:color w:val="231F20"/>
          <w:spacing w:val="1"/>
          <w:sz w:val="18"/>
          <w:szCs w:val="18"/>
        </w:rPr>
        <w:t xml:space="preserve">delle attrezzature Oil&amp;Gas </w:t>
      </w:r>
      <w:r w:rsidRPr="00427157">
        <w:rPr>
          <w:color w:val="231F20"/>
          <w:sz w:val="18"/>
          <w:szCs w:val="18"/>
        </w:rPr>
        <w:t xml:space="preserve">era di circa il 51,1%. </w:t>
      </w:r>
      <w:r w:rsidRPr="00427157">
        <w:rPr>
          <w:color w:val="231F20"/>
          <w:sz w:val="18"/>
          <w:szCs w:val="18"/>
        </w:rPr>
        <w:t>Nel 2020</w:t>
      </w:r>
      <w:r w:rsidRPr="00427157">
        <w:rPr>
          <w:color w:val="231F20"/>
          <w:sz w:val="18"/>
          <w:szCs w:val="18"/>
        </w:rPr>
        <w:t>, per esempio,</w:t>
      </w:r>
      <w:r w:rsidRPr="00427157">
        <w:rPr>
          <w:color w:val="231F20"/>
          <w:sz w:val="18"/>
          <w:szCs w:val="18"/>
        </w:rPr>
        <w:t xml:space="preserve"> si sono registrate importazioni per circa il</w:t>
      </w:r>
      <w:r w:rsidRPr="00427157">
        <w:rPr>
          <w:color w:val="231F20"/>
          <w:sz w:val="18"/>
          <w:szCs w:val="18"/>
        </w:rPr>
        <w:t xml:space="preserve"> 49,1% del fabbisogno nazionale, </w:t>
      </w:r>
      <w:r w:rsidRPr="00427157">
        <w:rPr>
          <w:color w:val="231F20"/>
          <w:sz w:val="18"/>
          <w:szCs w:val="18"/>
        </w:rPr>
        <w:t>mentre nel 2021 la stessa dovrebbe registrare un calo atteso al 48,9%.</w:t>
      </w:r>
    </w:p>
    <w:p w:rsidR="00EC0619" w:rsidRPr="00427157" w:rsidRDefault="00EC0619" w:rsidP="00032732">
      <w:pPr>
        <w:pStyle w:val="a3"/>
        <w:spacing w:before="105" w:line="312" w:lineRule="auto"/>
        <w:ind w:left="314" w:right="1198"/>
        <w:jc w:val="both"/>
        <w:rPr>
          <w:sz w:val="18"/>
          <w:szCs w:val="18"/>
        </w:rPr>
      </w:pPr>
      <w:r w:rsidRPr="00427157">
        <w:rPr>
          <w:sz w:val="18"/>
          <w:szCs w:val="18"/>
        </w:rPr>
        <w:t xml:space="preserve">I fornitori  principali </w:t>
      </w:r>
      <w:r w:rsidR="00427157" w:rsidRPr="00427157">
        <w:rPr>
          <w:sz w:val="18"/>
          <w:szCs w:val="18"/>
        </w:rPr>
        <w:t xml:space="preserve">verso la Russia </w:t>
      </w:r>
      <w:r w:rsidRPr="00427157">
        <w:rPr>
          <w:sz w:val="18"/>
          <w:szCs w:val="18"/>
        </w:rPr>
        <w:t xml:space="preserve">sono: </w:t>
      </w:r>
    </w:p>
    <w:p w:rsidR="00427157" w:rsidRPr="00427157" w:rsidRDefault="00A86EFA" w:rsidP="00427157">
      <w:pPr>
        <w:pStyle w:val="a3"/>
        <w:spacing w:before="105" w:line="312" w:lineRule="auto"/>
        <w:ind w:left="314" w:right="1198"/>
        <w:jc w:val="both"/>
        <w:rPr>
          <w:sz w:val="18"/>
          <w:szCs w:val="18"/>
        </w:rPr>
      </w:pPr>
      <w:r w:rsidRPr="00427157">
        <w:rPr>
          <w:sz w:val="18"/>
          <w:szCs w:val="18"/>
        </w:rPr>
        <w:t>Nel 2021 la Cina ha fornito attrezzature per l’</w:t>
      </w:r>
      <w:r w:rsidR="00427157" w:rsidRPr="00427157">
        <w:rPr>
          <w:sz w:val="18"/>
          <w:szCs w:val="18"/>
        </w:rPr>
        <w:t>importo di 2 mld di Euro (26,26% quota di mercato).</w:t>
      </w:r>
    </w:p>
    <w:p w:rsidR="00427157" w:rsidRPr="00427157" w:rsidRDefault="00A86EFA" w:rsidP="00427157">
      <w:pPr>
        <w:pStyle w:val="a3"/>
        <w:spacing w:before="105" w:line="312" w:lineRule="auto"/>
        <w:ind w:left="314" w:right="1198"/>
        <w:jc w:val="both"/>
        <w:rPr>
          <w:sz w:val="18"/>
          <w:szCs w:val="18"/>
        </w:rPr>
      </w:pPr>
      <w:r w:rsidRPr="00427157">
        <w:rPr>
          <w:sz w:val="18"/>
          <w:szCs w:val="18"/>
        </w:rPr>
        <w:t>Al secondo la Germania ha fornito le attrezzatu</w:t>
      </w:r>
      <w:r w:rsidR="00427157" w:rsidRPr="00427157">
        <w:rPr>
          <w:sz w:val="18"/>
          <w:szCs w:val="18"/>
        </w:rPr>
        <w:t xml:space="preserve">re per l’importo di 1,1 mld di Euro (14,52%). </w:t>
      </w:r>
    </w:p>
    <w:p w:rsidR="00EC0619" w:rsidRPr="00427157" w:rsidRDefault="00427157" w:rsidP="00427157">
      <w:pPr>
        <w:pStyle w:val="a3"/>
        <w:spacing w:before="105" w:line="312" w:lineRule="auto"/>
        <w:ind w:left="314" w:right="1198"/>
        <w:jc w:val="both"/>
        <w:rPr>
          <w:sz w:val="18"/>
          <w:szCs w:val="18"/>
        </w:rPr>
      </w:pPr>
      <w:r w:rsidRPr="00427157">
        <w:rPr>
          <w:sz w:val="18"/>
          <w:szCs w:val="18"/>
        </w:rPr>
        <w:t xml:space="preserve">L’Italia  occupa  il terzo  posto e le forniture italiane in Russia sono pari a 949 mln di Euro e la quota di mercato dell’11,96 % (+6,08%). </w:t>
      </w:r>
      <w:bookmarkStart w:id="0" w:name="_GoBack"/>
      <w:bookmarkEnd w:id="0"/>
    </w:p>
    <w:p w:rsidR="00EC0619" w:rsidRPr="00427157" w:rsidRDefault="00EC0619" w:rsidP="00032732">
      <w:pPr>
        <w:pStyle w:val="a3"/>
        <w:spacing w:before="105" w:line="312" w:lineRule="auto"/>
        <w:ind w:left="314" w:right="1198"/>
        <w:jc w:val="both"/>
        <w:rPr>
          <w:b/>
          <w:sz w:val="18"/>
          <w:szCs w:val="18"/>
        </w:rPr>
      </w:pPr>
    </w:p>
    <w:p w:rsidR="00EC0619" w:rsidRPr="00427157" w:rsidRDefault="00EC0619" w:rsidP="00032732">
      <w:pPr>
        <w:pStyle w:val="a3"/>
        <w:spacing w:before="105" w:line="312" w:lineRule="auto"/>
        <w:ind w:left="314" w:right="1198"/>
        <w:jc w:val="both"/>
        <w:rPr>
          <w:b/>
          <w:sz w:val="18"/>
          <w:szCs w:val="18"/>
        </w:rPr>
      </w:pPr>
    </w:p>
    <w:p w:rsidR="00EC0619" w:rsidRDefault="00EC0619" w:rsidP="00032732">
      <w:pPr>
        <w:pStyle w:val="a3"/>
        <w:spacing w:before="105" w:line="312" w:lineRule="auto"/>
        <w:ind w:left="314" w:right="1198"/>
        <w:jc w:val="both"/>
        <w:rPr>
          <w:b/>
          <w:sz w:val="18"/>
          <w:szCs w:val="18"/>
        </w:rPr>
      </w:pPr>
    </w:p>
    <w:p w:rsidR="00EC0619" w:rsidRDefault="00EC0619" w:rsidP="00032732">
      <w:pPr>
        <w:pStyle w:val="a3"/>
        <w:spacing w:before="105" w:line="312" w:lineRule="auto"/>
        <w:ind w:left="314" w:right="1198"/>
        <w:jc w:val="both"/>
        <w:rPr>
          <w:b/>
          <w:sz w:val="18"/>
          <w:szCs w:val="18"/>
        </w:rPr>
      </w:pPr>
    </w:p>
    <w:p w:rsidR="00EC0619" w:rsidRDefault="00EC0619" w:rsidP="00032732">
      <w:pPr>
        <w:pStyle w:val="a3"/>
        <w:spacing w:before="105" w:line="312" w:lineRule="auto"/>
        <w:ind w:left="314" w:right="1198"/>
        <w:jc w:val="both"/>
        <w:rPr>
          <w:b/>
          <w:sz w:val="18"/>
          <w:szCs w:val="18"/>
        </w:rPr>
      </w:pPr>
    </w:p>
    <w:p w:rsidR="00EC0619" w:rsidRPr="00EC0619" w:rsidRDefault="00EC0619" w:rsidP="00032732">
      <w:pPr>
        <w:pStyle w:val="a3"/>
        <w:spacing w:before="105" w:line="312" w:lineRule="auto"/>
        <w:ind w:left="314" w:right="1198"/>
        <w:jc w:val="both"/>
        <w:rPr>
          <w:b/>
          <w:sz w:val="18"/>
          <w:szCs w:val="18"/>
        </w:rPr>
      </w:pPr>
    </w:p>
    <w:p w:rsidR="007A60CC" w:rsidRDefault="007A60CC" w:rsidP="00032732">
      <w:pPr>
        <w:pStyle w:val="a3"/>
        <w:spacing w:before="105" w:line="312" w:lineRule="auto"/>
        <w:ind w:left="314" w:right="1198"/>
        <w:jc w:val="both"/>
      </w:pPr>
    </w:p>
    <w:p w:rsidR="00032732" w:rsidRPr="00A26163" w:rsidRDefault="00032732" w:rsidP="00032732">
      <w:pPr>
        <w:pStyle w:val="a3"/>
        <w:spacing w:before="105" w:line="312" w:lineRule="auto"/>
        <w:ind w:left="314" w:right="1198"/>
        <w:jc w:val="both"/>
      </w:pPr>
    </w:p>
    <w:p w:rsidR="00032732" w:rsidRPr="00032732" w:rsidRDefault="00032732" w:rsidP="00032732">
      <w:pPr>
        <w:pStyle w:val="a3"/>
        <w:spacing w:before="105" w:line="312" w:lineRule="auto"/>
        <w:ind w:right="1198"/>
        <w:jc w:val="both"/>
      </w:pPr>
    </w:p>
    <w:sectPr w:rsidR="00032732" w:rsidRPr="00032732">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E15C5"/>
    <w:multiLevelType w:val="hybridMultilevel"/>
    <w:tmpl w:val="C25E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37707C"/>
    <w:multiLevelType w:val="hybridMultilevel"/>
    <w:tmpl w:val="93082F06"/>
    <w:lvl w:ilvl="0" w:tplc="7C7299C8">
      <w:numFmt w:val="bullet"/>
      <w:lvlText w:val="•"/>
      <w:lvlJc w:val="left"/>
      <w:pPr>
        <w:ind w:left="674" w:hanging="360"/>
      </w:pPr>
      <w:rPr>
        <w:rFonts w:ascii="Verdana" w:eastAsia="Verdana" w:hAnsi="Verdana" w:cs="Verdana"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2">
    <w:nsid w:val="4A514842"/>
    <w:multiLevelType w:val="hybridMultilevel"/>
    <w:tmpl w:val="BA886D80"/>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
    <w:nsid w:val="7D5F0242"/>
    <w:multiLevelType w:val="hybridMultilevel"/>
    <w:tmpl w:val="76F28EC6"/>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32"/>
    <w:rsid w:val="00032732"/>
    <w:rsid w:val="00427157"/>
    <w:rsid w:val="007A60CC"/>
    <w:rsid w:val="008D09E0"/>
    <w:rsid w:val="009C4ED0"/>
    <w:rsid w:val="00A86EFA"/>
    <w:rsid w:val="00B66B94"/>
    <w:rsid w:val="00BD1BDA"/>
    <w:rsid w:val="00EC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B555C-6C3F-48EC-9450-757C63A1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32732"/>
    <w:pPr>
      <w:widowControl w:val="0"/>
      <w:autoSpaceDE w:val="0"/>
      <w:autoSpaceDN w:val="0"/>
      <w:spacing w:after="0" w:line="240" w:lineRule="auto"/>
    </w:pPr>
    <w:rPr>
      <w:rFonts w:ascii="Verdana" w:eastAsia="Verdana" w:hAnsi="Verdana" w:cs="Verdana"/>
      <w:sz w:val="20"/>
      <w:szCs w:val="20"/>
      <w:lang w:val="it-IT"/>
    </w:rPr>
  </w:style>
  <w:style w:type="character" w:customStyle="1" w:styleId="a4">
    <w:name w:val="Основной текст Знак"/>
    <w:basedOn w:val="a0"/>
    <w:link w:val="a3"/>
    <w:uiPriority w:val="1"/>
    <w:rsid w:val="00032732"/>
    <w:rPr>
      <w:rFonts w:ascii="Verdana" w:eastAsia="Verdana" w:hAnsi="Verdana" w:cs="Verdana"/>
      <w:sz w:val="20"/>
      <w:szCs w:val="20"/>
      <w:lang w:val="it-IT"/>
    </w:rPr>
  </w:style>
  <w:style w:type="table" w:customStyle="1" w:styleId="TableNormal">
    <w:name w:val="Table Normal"/>
    <w:uiPriority w:val="2"/>
    <w:semiHidden/>
    <w:unhideWhenUsed/>
    <w:qFormat/>
    <w:rsid w:val="00EC0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0619"/>
    <w:pPr>
      <w:widowControl w:val="0"/>
      <w:autoSpaceDE w:val="0"/>
      <w:autoSpaceDN w:val="0"/>
      <w:spacing w:after="0" w:line="240" w:lineRule="auto"/>
      <w:jc w:val="right"/>
    </w:pPr>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D'Andrea</dc:creator>
  <cp:keywords/>
  <dc:description/>
  <cp:lastModifiedBy>oleg</cp:lastModifiedBy>
  <cp:revision>3</cp:revision>
  <dcterms:created xsi:type="dcterms:W3CDTF">2022-04-12T05:00:00Z</dcterms:created>
  <dcterms:modified xsi:type="dcterms:W3CDTF">2022-04-12T05:57:00Z</dcterms:modified>
</cp:coreProperties>
</file>